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6F333" w14:textId="66C2C0D7" w:rsidR="001739F4" w:rsidRDefault="00474618">
      <w:pPr>
        <w:jc w:val="center"/>
        <w:rPr>
          <w:rFonts w:ascii="Arial" w:hAnsi="Arial" w:cs="Arial"/>
          <w:b/>
        </w:rPr>
      </w:pPr>
      <w:r>
        <w:rPr>
          <w:rFonts w:ascii="Arial" w:hAnsi="Arial" w:cs="Arial"/>
          <w:b/>
        </w:rPr>
        <w:t xml:space="preserve">ORDINANCE NO. </w:t>
      </w:r>
      <w:r w:rsidR="00165871">
        <w:rPr>
          <w:rFonts w:ascii="Arial" w:hAnsi="Arial" w:cs="Arial"/>
          <w:b/>
        </w:rPr>
        <w:t>7</w:t>
      </w:r>
      <w:r>
        <w:rPr>
          <w:rFonts w:ascii="Arial" w:hAnsi="Arial" w:cs="Arial"/>
          <w:b/>
        </w:rPr>
        <w:t xml:space="preserve">-2022 </w:t>
      </w:r>
    </w:p>
    <w:p w14:paraId="762CAF2F" w14:textId="77777777" w:rsidR="001739F4" w:rsidRDefault="00474618">
      <w:pPr>
        <w:jc w:val="center"/>
        <w:rPr>
          <w:rFonts w:ascii="Arial" w:hAnsi="Arial" w:cs="Arial"/>
          <w:b/>
        </w:rPr>
      </w:pPr>
      <w:r>
        <w:rPr>
          <w:rFonts w:ascii="Arial" w:hAnsi="Arial" w:cs="Arial"/>
          <w:b/>
        </w:rPr>
        <w:t xml:space="preserve">PROVIDING FOR THE EMPLOYMENT OF LEGAL COUNSEL </w:t>
      </w:r>
    </w:p>
    <w:p w14:paraId="2B499F1A" w14:textId="77777777" w:rsidR="001739F4" w:rsidRDefault="001739F4">
      <w:pPr>
        <w:rPr>
          <w:rFonts w:ascii="Arial" w:hAnsi="Arial" w:cs="Arial"/>
          <w:sz w:val="16"/>
          <w:szCs w:val="16"/>
        </w:rPr>
      </w:pPr>
    </w:p>
    <w:p w14:paraId="42697A31" w14:textId="77777777" w:rsidR="001739F4" w:rsidRDefault="00474618">
      <w:pPr>
        <w:rPr>
          <w:rFonts w:ascii="Arial" w:hAnsi="Arial" w:cs="Arial"/>
        </w:rPr>
      </w:pPr>
      <w:r>
        <w:rPr>
          <w:rFonts w:ascii="Arial" w:hAnsi="Arial" w:cs="Arial"/>
        </w:rPr>
        <w:tab/>
      </w:r>
      <w:r>
        <w:rPr>
          <w:rFonts w:ascii="Arial" w:hAnsi="Arial" w:cs="Arial"/>
          <w:b/>
        </w:rPr>
        <w:t>BE IT ORDAINED</w:t>
      </w:r>
      <w:r>
        <w:rPr>
          <w:rFonts w:ascii="Arial" w:hAnsi="Arial" w:cs="Arial"/>
        </w:rPr>
        <w:t xml:space="preserve"> by the Council of the Village of Fairfax, State of Ohio that:</w:t>
      </w:r>
    </w:p>
    <w:p w14:paraId="63818A28" w14:textId="77777777" w:rsidR="001739F4" w:rsidRDefault="00474618">
      <w:pPr>
        <w:rPr>
          <w:rFonts w:ascii="Arial" w:hAnsi="Arial" w:cs="Arial"/>
        </w:rPr>
      </w:pPr>
      <w:r>
        <w:rPr>
          <w:rFonts w:ascii="Arial" w:hAnsi="Arial" w:cs="Arial"/>
        </w:rPr>
        <w:tab/>
      </w:r>
      <w:r>
        <w:rPr>
          <w:rFonts w:ascii="Arial" w:hAnsi="Arial" w:cs="Arial"/>
          <w:b/>
          <w:u w:val="single"/>
        </w:rPr>
        <w:t>SECTION I:</w:t>
      </w:r>
      <w:r>
        <w:rPr>
          <w:rFonts w:ascii="Arial" w:hAnsi="Arial" w:cs="Arial"/>
        </w:rPr>
        <w:tab/>
        <w:t>The law firm of Dinsmore &amp; Shohl LLP (“Dinsmore &amp; Shohl”) is hereby employed as legal counsel for the Village of Fairfax (the “Village”) for the period commencing June 1, 2022 and ending May 31, 2024.  Alan H. Abes shall be known as the Solicitor of the Village of Fairfax, but any of the partners and associates of Dinsmore &amp; Shohl are also authorized to perform such services for the Village as may be requested by the Solicitor.</w:t>
      </w:r>
    </w:p>
    <w:p w14:paraId="7B9E10FF" w14:textId="77777777" w:rsidR="001739F4" w:rsidRDefault="00474618">
      <w:pPr>
        <w:rPr>
          <w:rFonts w:ascii="Arial" w:hAnsi="Arial" w:cs="Arial"/>
        </w:rPr>
      </w:pPr>
      <w:r>
        <w:rPr>
          <w:rFonts w:ascii="Arial" w:hAnsi="Arial" w:cs="Arial"/>
        </w:rPr>
        <w:tab/>
      </w:r>
      <w:r>
        <w:rPr>
          <w:rFonts w:ascii="Arial" w:hAnsi="Arial" w:cs="Arial"/>
          <w:b/>
          <w:u w:val="single"/>
        </w:rPr>
        <w:t>SECTION II:</w:t>
      </w:r>
      <w:r>
        <w:rPr>
          <w:rFonts w:ascii="Arial" w:hAnsi="Arial" w:cs="Arial"/>
        </w:rPr>
        <w:t xml:space="preserve">  It shall be the duty of the Solicitor to act as attorney and counsel for the Village and the officers thereof in their official capacity, and to prosecute and defend all actions by and against the Village or any department or office thereof in all litigation in the Village Mayor’s Court, Hamilton County Municipal Court or Court of Common Pleas, or any other court, to attend all meetings of Council, and to prepare or review all ordinances and resolutions.  It shall further be the duty of the Solicitor, upon request of the Mayor or Administrator, to render written legal opinions to them or to the Council.  Any member of the Village Council may request the services of the Solicitor, but any Councilperson making such a request must first discuss the request with the </w:t>
      </w:r>
      <w:proofErr w:type="gramStart"/>
      <w:r>
        <w:rPr>
          <w:rFonts w:ascii="Arial" w:hAnsi="Arial" w:cs="Arial"/>
        </w:rPr>
        <w:t>Mayor</w:t>
      </w:r>
      <w:proofErr w:type="gramEnd"/>
      <w:r>
        <w:rPr>
          <w:rFonts w:ascii="Arial" w:hAnsi="Arial" w:cs="Arial"/>
        </w:rPr>
        <w:t xml:space="preserve"> or make a reasonable effort to do so under the circumstances.  The Solicitor shall not provide services to any member of the Village Council without prior approval of the </w:t>
      </w:r>
      <w:proofErr w:type="gramStart"/>
      <w:r>
        <w:rPr>
          <w:rFonts w:ascii="Arial" w:hAnsi="Arial" w:cs="Arial"/>
        </w:rPr>
        <w:t>Mayor</w:t>
      </w:r>
      <w:proofErr w:type="gramEnd"/>
      <w:r>
        <w:rPr>
          <w:rFonts w:ascii="Arial" w:hAnsi="Arial" w:cs="Arial"/>
        </w:rPr>
        <w:t xml:space="preserve"> except in any emergency or other exigent circumstances.</w:t>
      </w:r>
    </w:p>
    <w:p w14:paraId="79FEF920" w14:textId="77777777" w:rsidR="001739F4" w:rsidRDefault="00474618">
      <w:pPr>
        <w:rPr>
          <w:rFonts w:ascii="Arial" w:hAnsi="Arial" w:cs="Arial"/>
        </w:rPr>
      </w:pPr>
      <w:r>
        <w:rPr>
          <w:rFonts w:ascii="Arial" w:hAnsi="Arial" w:cs="Arial"/>
        </w:rPr>
        <w:tab/>
      </w:r>
      <w:r>
        <w:rPr>
          <w:rFonts w:ascii="Arial" w:hAnsi="Arial" w:cs="Arial"/>
          <w:b/>
          <w:u w:val="single"/>
        </w:rPr>
        <w:t>SECTION III:</w:t>
      </w:r>
      <w:r>
        <w:rPr>
          <w:rFonts w:ascii="Arial" w:hAnsi="Arial" w:cs="Arial"/>
        </w:rPr>
        <w:t xml:space="preserve">  For rendering such services as set forth in Section II above, Dinsmore &amp; Shohl shall be compensated $75,000 per year, payable $6,250 monthly (the “Retainer”); provided, however, that if the total hours worked in a contract year exceed </w:t>
      </w:r>
      <w:r>
        <w:rPr>
          <w:rFonts w:ascii="Arial" w:hAnsi="Arial" w:cs="Arial"/>
        </w:rPr>
        <w:lastRenderedPageBreak/>
        <w:t xml:space="preserve">480 hours, additional compensation for such time shall be at the hourly rate of $200.  Matters in civil litigation, including preparation for or winding down of the same, and any other matters specifically designated by Council, the Mayor, or the Administrator, shall be compensated at a rate of $375 per hour, and shall not count against the </w:t>
      </w:r>
      <w:proofErr w:type="gramStart"/>
      <w:r>
        <w:rPr>
          <w:rFonts w:ascii="Arial" w:hAnsi="Arial" w:cs="Arial"/>
        </w:rPr>
        <w:t>480 hour</w:t>
      </w:r>
      <w:proofErr w:type="gramEnd"/>
      <w:r>
        <w:rPr>
          <w:rFonts w:ascii="Arial" w:hAnsi="Arial" w:cs="Arial"/>
        </w:rPr>
        <w:t xml:space="preserve"> Retainer to be compensated out of the $75,000 amount set forth above.  Equivalent matters in criminal litigation shall be compensated at a rate of $300 per hour.  Criminal litigation does not include cases in the Village Mayor Court, which shall be paid by the Retainer, but does include cases transferred or appealed to the Hamilton County Municipal Court or higher courts of review, and any second Village Mayor’s Court added to a month.  The Retainer also does not include services provided by Mercantile Title Agency.  When those services are requested by the Village, Dinsmore &amp; Shohl shall be compensated for Mercantile’s services at Mercantile’s then prevailing rate.</w:t>
      </w:r>
    </w:p>
    <w:p w14:paraId="45A82F72" w14:textId="77777777" w:rsidR="001739F4" w:rsidRDefault="00474618">
      <w:pPr>
        <w:rPr>
          <w:rFonts w:ascii="Arial" w:hAnsi="Arial" w:cs="Arial"/>
        </w:rPr>
      </w:pPr>
      <w:r>
        <w:rPr>
          <w:rFonts w:ascii="Arial" w:hAnsi="Arial" w:cs="Arial"/>
        </w:rPr>
        <w:tab/>
      </w:r>
      <w:r>
        <w:rPr>
          <w:rFonts w:ascii="Arial" w:hAnsi="Arial" w:cs="Arial"/>
          <w:b/>
          <w:u w:val="single"/>
        </w:rPr>
        <w:t>SECTION IV:</w:t>
      </w:r>
      <w:r>
        <w:rPr>
          <w:rFonts w:ascii="Arial" w:hAnsi="Arial" w:cs="Arial"/>
        </w:rPr>
        <w:t xml:space="preserve">  Ordinance No. 12-2020 is hereby repealed.</w:t>
      </w:r>
    </w:p>
    <w:p w14:paraId="6030F4C4" w14:textId="77777777" w:rsidR="001739F4" w:rsidRDefault="00474618">
      <w:pPr>
        <w:rPr>
          <w:rFonts w:ascii="Arial" w:hAnsi="Arial" w:cs="Arial"/>
        </w:rPr>
      </w:pPr>
      <w:r>
        <w:rPr>
          <w:rFonts w:ascii="Arial" w:hAnsi="Arial" w:cs="Arial"/>
        </w:rPr>
        <w:tab/>
      </w:r>
      <w:r>
        <w:rPr>
          <w:rFonts w:ascii="Arial" w:hAnsi="Arial" w:cs="Arial"/>
          <w:b/>
          <w:u w:val="single"/>
        </w:rPr>
        <w:t>SECTION V:</w:t>
      </w:r>
      <w:r>
        <w:rPr>
          <w:rFonts w:ascii="Arial" w:hAnsi="Arial" w:cs="Arial"/>
        </w:rPr>
        <w:tab/>
        <w:t xml:space="preserve">This Ordinance is shall take effect from and after the earliest period allowed by law. </w:t>
      </w:r>
    </w:p>
    <w:p w14:paraId="512AE090" w14:textId="77777777" w:rsidR="001739F4" w:rsidRDefault="00474618">
      <w:pPr>
        <w:rPr>
          <w:rFonts w:ascii="Arial" w:hAnsi="Arial" w:cs="Arial"/>
        </w:rPr>
      </w:pPr>
      <w:r>
        <w:rPr>
          <w:rFonts w:ascii="Arial" w:hAnsi="Arial" w:cs="Arial"/>
        </w:rPr>
        <w:tab/>
      </w:r>
    </w:p>
    <w:p w14:paraId="74F5DA96" w14:textId="6B9FC630" w:rsidR="001739F4" w:rsidRDefault="00474618">
      <w:pPr>
        <w:rPr>
          <w:rFonts w:ascii="Arial" w:hAnsi="Arial" w:cs="Arial"/>
        </w:rPr>
      </w:pPr>
      <w:r>
        <w:rPr>
          <w:rFonts w:ascii="Arial" w:hAnsi="Arial" w:cs="Arial"/>
        </w:rPr>
        <w:t xml:space="preserve">Passed this </w:t>
      </w:r>
      <w:r w:rsidR="001C716A">
        <w:rPr>
          <w:rFonts w:ascii="Arial" w:hAnsi="Arial" w:cs="Arial"/>
        </w:rPr>
        <w:t>16th</w:t>
      </w:r>
      <w:r w:rsidR="00165871">
        <w:rPr>
          <w:rFonts w:ascii="Arial" w:hAnsi="Arial" w:cs="Arial"/>
        </w:rPr>
        <w:t xml:space="preserve"> </w:t>
      </w:r>
      <w:r>
        <w:rPr>
          <w:rFonts w:ascii="Arial" w:hAnsi="Arial" w:cs="Arial"/>
        </w:rPr>
        <w:t>day of</w:t>
      </w:r>
      <w:r w:rsidR="00165871">
        <w:rPr>
          <w:rFonts w:ascii="Arial" w:hAnsi="Arial" w:cs="Arial"/>
        </w:rPr>
        <w:t xml:space="preserve"> Ma</w:t>
      </w:r>
      <w:r w:rsidR="001C716A">
        <w:rPr>
          <w:rFonts w:ascii="Arial" w:hAnsi="Arial" w:cs="Arial"/>
        </w:rPr>
        <w:t xml:space="preserve">y, </w:t>
      </w:r>
      <w:r>
        <w:rPr>
          <w:rFonts w:ascii="Arial" w:hAnsi="Arial" w:cs="Arial"/>
        </w:rPr>
        <w:t>2022.</w:t>
      </w:r>
    </w:p>
    <w:p w14:paraId="16CFAA60" w14:textId="77777777" w:rsidR="001739F4" w:rsidRDefault="001739F4">
      <w:pPr>
        <w:rPr>
          <w:rFonts w:ascii="Arial" w:hAnsi="Arial" w:cs="Arial"/>
        </w:rPr>
      </w:pPr>
    </w:p>
    <w:p w14:paraId="37C7DE59" w14:textId="77777777" w:rsidR="001739F4" w:rsidRDefault="00474618">
      <w:pPr>
        <w:pStyle w:val="NoSpacing"/>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09A9BC06" w14:textId="77777777" w:rsidR="001739F4" w:rsidRDefault="00474618">
      <w:pPr>
        <w:pStyle w:val="NoSpacing"/>
        <w:ind w:left="4320" w:firstLine="720"/>
        <w:rPr>
          <w:rFonts w:ascii="Arial" w:hAnsi="Arial" w:cs="Arial"/>
        </w:rPr>
      </w:pPr>
      <w:r>
        <w:rPr>
          <w:rFonts w:ascii="Arial" w:hAnsi="Arial" w:cs="Arial"/>
        </w:rPr>
        <w:t>Mayor</w:t>
      </w:r>
    </w:p>
    <w:p w14:paraId="4F9EF4CA" w14:textId="77777777" w:rsidR="001739F4" w:rsidRDefault="00474618">
      <w:pPr>
        <w:spacing w:line="240" w:lineRule="auto"/>
        <w:rPr>
          <w:rFonts w:ascii="Arial" w:hAnsi="Arial" w:cs="Arial"/>
        </w:rPr>
      </w:pPr>
      <w:r>
        <w:rPr>
          <w:rFonts w:ascii="Arial" w:hAnsi="Arial" w:cs="Arial"/>
        </w:rPr>
        <w:t>ATTEST:</w:t>
      </w:r>
    </w:p>
    <w:p w14:paraId="2021D595" w14:textId="77777777" w:rsidR="001739F4" w:rsidRDefault="001739F4">
      <w:pPr>
        <w:spacing w:line="240" w:lineRule="auto"/>
        <w:rPr>
          <w:rFonts w:ascii="Arial" w:hAnsi="Arial" w:cs="Arial"/>
        </w:rPr>
      </w:pPr>
    </w:p>
    <w:p w14:paraId="4D0B73B2" w14:textId="77777777" w:rsidR="001739F4" w:rsidRDefault="001739F4">
      <w:pPr>
        <w:spacing w:line="240" w:lineRule="auto"/>
        <w:rPr>
          <w:rFonts w:ascii="Arial" w:hAnsi="Arial" w:cs="Arial"/>
        </w:rPr>
      </w:pPr>
    </w:p>
    <w:p w14:paraId="4B6240D7" w14:textId="77777777" w:rsidR="001739F4" w:rsidRDefault="00474618">
      <w:pPr>
        <w:spacing w:line="240" w:lineRule="auto"/>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35E5565" w14:textId="77777777" w:rsidR="001739F4" w:rsidRDefault="00474618">
      <w:pPr>
        <w:spacing w:line="240" w:lineRule="auto"/>
        <w:rPr>
          <w:rFonts w:ascii="Arial" w:hAnsi="Arial" w:cs="Arial"/>
        </w:rPr>
      </w:pPr>
      <w:r>
        <w:rPr>
          <w:rFonts w:ascii="Arial" w:hAnsi="Arial" w:cs="Arial"/>
        </w:rPr>
        <w:t>Fiscal Officer</w:t>
      </w:r>
    </w:p>
    <w:p w14:paraId="24FEBCA4" w14:textId="77777777" w:rsidR="001739F4" w:rsidRDefault="001739F4">
      <w:pPr>
        <w:spacing w:line="240" w:lineRule="auto"/>
        <w:rPr>
          <w:rFonts w:ascii="Arial" w:hAnsi="Arial" w:cs="Arial"/>
        </w:rPr>
      </w:pPr>
    </w:p>
    <w:p w14:paraId="5B9794DA" w14:textId="77777777" w:rsidR="001739F4" w:rsidRDefault="001739F4">
      <w:pPr>
        <w:spacing w:line="240" w:lineRule="auto"/>
        <w:rPr>
          <w:rFonts w:ascii="Arial" w:hAnsi="Arial" w:cs="Arial"/>
        </w:rPr>
      </w:pPr>
    </w:p>
    <w:p w14:paraId="61364EA7" w14:textId="77777777" w:rsidR="001739F4" w:rsidRDefault="001739F4">
      <w:pPr>
        <w:spacing w:line="240" w:lineRule="auto"/>
        <w:rPr>
          <w:rFonts w:ascii="Arial" w:hAnsi="Arial" w:cs="Arial"/>
        </w:rPr>
      </w:pPr>
    </w:p>
    <w:p w14:paraId="7B74463D" w14:textId="77777777" w:rsidR="001739F4" w:rsidRDefault="001739F4">
      <w:pPr>
        <w:spacing w:line="240" w:lineRule="auto"/>
        <w:rPr>
          <w:rFonts w:ascii="Arial" w:hAnsi="Arial" w:cs="Arial"/>
        </w:rPr>
      </w:pPr>
    </w:p>
    <w:p w14:paraId="36B78FBE" w14:textId="77777777" w:rsidR="001739F4" w:rsidRDefault="001739F4">
      <w:pPr>
        <w:spacing w:line="240" w:lineRule="auto"/>
        <w:rPr>
          <w:rFonts w:ascii="Arial" w:hAnsi="Arial" w:cs="Arial"/>
        </w:rPr>
      </w:pPr>
    </w:p>
    <w:p w14:paraId="3B122FFC" w14:textId="77777777" w:rsidR="001739F4" w:rsidRDefault="001739F4">
      <w:pPr>
        <w:spacing w:line="240" w:lineRule="auto"/>
        <w:rPr>
          <w:rFonts w:ascii="Arial" w:hAnsi="Arial" w:cs="Arial"/>
        </w:rPr>
      </w:pPr>
    </w:p>
    <w:p w14:paraId="43C7A6B8" w14:textId="77777777" w:rsidR="001739F4" w:rsidRDefault="001739F4">
      <w:pPr>
        <w:spacing w:line="240" w:lineRule="auto"/>
        <w:rPr>
          <w:rFonts w:ascii="Arial" w:hAnsi="Arial" w:cs="Arial"/>
        </w:rPr>
      </w:pPr>
    </w:p>
    <w:p w14:paraId="5D53C851" w14:textId="77777777" w:rsidR="001739F4" w:rsidRDefault="001739F4">
      <w:pPr>
        <w:spacing w:line="240" w:lineRule="auto"/>
        <w:rPr>
          <w:rFonts w:ascii="Arial" w:hAnsi="Arial" w:cs="Arial"/>
        </w:rPr>
      </w:pPr>
    </w:p>
    <w:p w14:paraId="7238C5B5" w14:textId="77777777" w:rsidR="001739F4" w:rsidRDefault="00474618">
      <w:pPr>
        <w:spacing w:line="240" w:lineRule="auto"/>
        <w:jc w:val="center"/>
        <w:rPr>
          <w:rFonts w:ascii="Arial" w:hAnsi="Arial" w:cs="Arial"/>
          <w:b/>
          <w:u w:val="single"/>
        </w:rPr>
      </w:pPr>
      <w:r>
        <w:rPr>
          <w:rFonts w:ascii="Arial" w:hAnsi="Arial" w:cs="Arial"/>
          <w:b/>
          <w:u w:val="single"/>
        </w:rPr>
        <w:t>CERTIFICATE</w:t>
      </w:r>
    </w:p>
    <w:p w14:paraId="07059B61" w14:textId="77777777" w:rsidR="001739F4" w:rsidRDefault="001739F4">
      <w:pPr>
        <w:spacing w:line="240" w:lineRule="auto"/>
        <w:jc w:val="center"/>
        <w:rPr>
          <w:rFonts w:ascii="Arial" w:hAnsi="Arial" w:cs="Arial"/>
        </w:rPr>
      </w:pPr>
    </w:p>
    <w:p w14:paraId="7D269DFE" w14:textId="4A9E13B2" w:rsidR="001739F4" w:rsidRDefault="00474618">
      <w:pPr>
        <w:spacing w:line="240" w:lineRule="auto"/>
        <w:ind w:firstLine="720"/>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59C40579" wp14:editId="5012D3B0">
                <wp:simplePos x="0" y="0"/>
                <wp:positionH relativeFrom="column">
                  <wp:posOffset>0</wp:posOffset>
                </wp:positionH>
                <wp:positionV relativeFrom="page">
                  <wp:posOffset>9144000</wp:posOffset>
                </wp:positionV>
                <wp:extent cx="2743200" cy="4419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174A" w14:textId="77777777" w:rsidR="001739F4" w:rsidRDefault="001739F4">
                            <w:pPr>
                              <w:rPr>
                                <w:rStyle w:val="LBFileStampAtCursor"/>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C40579" id="_x0000_t202" coordsize="21600,21600" o:spt="202" path="m,l,21600r21600,l21600,xe">
                <v:stroke joinstyle="miter"/>
                <v:path gradientshapeok="t" o:connecttype="rect"/>
              </v:shapetype>
              <v:shape id="Text Box 1" o:spid="_x0000_s1026" type="#_x0000_t202" style="position:absolute;left:0;text-align:left;margin-left:0;margin-top:10in;width:3in;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" filled="f" stroked="f">
                <v:textbox style="mso-fit-shape-to-text:t" inset="0">
                  <w:txbxContent>
                    <w:p w14:paraId="5CF3174A" w14:textId="77777777" w:rsidR="001739F4" w:rsidRDefault="001739F4">
                      <w:pPr>
                        <w:rPr>
                          <w:rStyle w:val="LBFileStampAtCursor"/>
                        </w:rPr>
                      </w:pPr>
                    </w:p>
                  </w:txbxContent>
                </v:textbox>
                <w10:wrap anchory="page"/>
              </v:shape>
            </w:pict>
          </mc:Fallback>
        </mc:AlternateContent>
      </w:r>
      <w:r>
        <w:rPr>
          <w:rFonts w:ascii="Arial" w:hAnsi="Arial" w:cs="Arial"/>
        </w:rPr>
        <w:t xml:space="preserve">I hereby certify this to be a true and correct copy of Ordinance No. </w:t>
      </w:r>
      <w:r w:rsidR="00165871">
        <w:rPr>
          <w:rFonts w:ascii="Arial" w:hAnsi="Arial" w:cs="Arial"/>
        </w:rPr>
        <w:t>7</w:t>
      </w:r>
      <w:r>
        <w:rPr>
          <w:rFonts w:ascii="Arial" w:hAnsi="Arial" w:cs="Arial"/>
        </w:rPr>
        <w:t xml:space="preserve">-2022 passed at a regular meeting of the Council of the Village of Fairfax this </w:t>
      </w:r>
      <w:r w:rsidR="001C716A">
        <w:rPr>
          <w:rFonts w:ascii="Arial" w:hAnsi="Arial" w:cs="Arial"/>
        </w:rPr>
        <w:t>16th</w:t>
      </w:r>
      <w:r>
        <w:rPr>
          <w:rFonts w:ascii="Arial" w:hAnsi="Arial" w:cs="Arial"/>
        </w:rPr>
        <w:t xml:space="preserve"> day of</w:t>
      </w:r>
      <w:r w:rsidR="00165871">
        <w:rPr>
          <w:rFonts w:ascii="Arial" w:hAnsi="Arial" w:cs="Arial"/>
        </w:rPr>
        <w:t xml:space="preserve"> Ma</w:t>
      </w:r>
      <w:r w:rsidR="001C716A">
        <w:rPr>
          <w:rFonts w:ascii="Arial" w:hAnsi="Arial" w:cs="Arial"/>
        </w:rPr>
        <w:t>y</w:t>
      </w:r>
      <w:r>
        <w:rPr>
          <w:rFonts w:ascii="Arial" w:hAnsi="Arial" w:cs="Arial"/>
        </w:rPr>
        <w:t>, 2022.</w:t>
      </w:r>
    </w:p>
    <w:p w14:paraId="4D881D99" w14:textId="77777777" w:rsidR="001739F4" w:rsidRDefault="001739F4">
      <w:pPr>
        <w:spacing w:line="240" w:lineRule="auto"/>
        <w:rPr>
          <w:rFonts w:ascii="Arial" w:hAnsi="Arial" w:cs="Arial"/>
        </w:rPr>
      </w:pPr>
    </w:p>
    <w:p w14:paraId="79E44807" w14:textId="77777777" w:rsidR="001739F4" w:rsidRDefault="001739F4">
      <w:pPr>
        <w:spacing w:line="240" w:lineRule="auto"/>
        <w:rPr>
          <w:rFonts w:ascii="Arial" w:hAnsi="Arial" w:cs="Arial"/>
        </w:rPr>
      </w:pPr>
    </w:p>
    <w:p w14:paraId="45AC1F64" w14:textId="77777777" w:rsidR="001739F4" w:rsidRDefault="00474618">
      <w:pPr>
        <w:spacing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773D1A10" w14:textId="77777777" w:rsidR="001739F4" w:rsidRDefault="0047461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p w14:paraId="7E1DD6BD" w14:textId="77777777" w:rsidR="001739F4" w:rsidRDefault="001739F4">
      <w:pPr>
        <w:rPr>
          <w:rFonts w:ascii="Arial" w:hAnsi="Arial" w:cs="Arial"/>
        </w:rPr>
      </w:pPr>
    </w:p>
    <w:sectPr w:rsidR="001739F4">
      <w:footerReference w:type="default" r:id="rId6"/>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C57F6" w14:textId="77777777" w:rsidR="00B87847" w:rsidRDefault="00B87847">
      <w:pPr>
        <w:spacing w:line="240" w:lineRule="auto"/>
      </w:pPr>
      <w:r>
        <w:separator/>
      </w:r>
    </w:p>
  </w:endnote>
  <w:endnote w:type="continuationSeparator" w:id="0">
    <w:p w14:paraId="30BC584A" w14:textId="77777777" w:rsidR="00B87847" w:rsidRDefault="00B878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F315" w14:textId="77777777" w:rsidR="001739F4" w:rsidRDefault="00474618">
    <w:pPr>
      <w:pStyle w:val="Footer"/>
    </w:pPr>
    <w:r>
      <w:ptab w:relativeTo="margin" w:alignment="center" w:leader="none"/>
    </w:r>
    <w:r>
      <w:rPr>
        <w:rStyle w:val="PageNumber"/>
        <w:rFonts w:ascii="Arial" w:hAnsi="Arial" w:cs="Arial"/>
      </w:rPr>
      <w:fldChar w:fldCharType="begin"/>
    </w:r>
    <w:r>
      <w:rPr>
        <w:rStyle w:val="PageNumber"/>
        <w:rFonts w:ascii="Arial" w:hAnsi="Arial" w:cs="Arial"/>
      </w:rPr>
      <w:instrText xml:space="preserve"> PAGE  \* MERGEFORMAT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2603" w14:textId="77777777" w:rsidR="00B87847" w:rsidRDefault="00B87847">
      <w:pPr>
        <w:spacing w:line="240" w:lineRule="auto"/>
      </w:pPr>
      <w:r>
        <w:separator/>
      </w:r>
    </w:p>
  </w:footnote>
  <w:footnote w:type="continuationSeparator" w:id="0">
    <w:p w14:paraId="6099A78D" w14:textId="77777777" w:rsidR="00B87847" w:rsidRDefault="00B878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F4"/>
    <w:rsid w:val="00165871"/>
    <w:rsid w:val="001739F4"/>
    <w:rsid w:val="001C716A"/>
    <w:rsid w:val="00474618"/>
    <w:rsid w:val="00901625"/>
    <w:rsid w:val="00960712"/>
    <w:rsid w:val="00AE7CDA"/>
    <w:rsid w:val="00B87847"/>
    <w:rsid w:val="00CF5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6E4A"/>
  <w15:docId w15:val="{800ACD1E-0D4C-45AF-AEED-B504B8934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BFileStampAtCursor">
    <w:name w:val="*LBFileStampAtCursor"/>
    <w:aliases w:val="FSC"/>
    <w:basedOn w:val="DefaultParagraphFont"/>
    <w:rPr>
      <w:rFonts w:ascii="Times New Roman" w:hAnsi="Times New Roman" w:cs="Times New Roman"/>
      <w:sz w:val="16"/>
      <w:szCs w:val="32"/>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jc w:val="both"/>
    </w:pPr>
    <w:rPr>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sz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sz w:val="24"/>
    </w:rPr>
  </w:style>
  <w:style w:type="character" w:styleId="PageNumber">
    <w:name w:val="page number"/>
    <w:basedOn w:val="DefaultParagraphFont"/>
    <w:uiPriority w:val="99"/>
    <w:unhideWhenUsed/>
    <w:rPr>
      <w:rFonts w:asciiTheme="minorHAnsi" w:hAnsiTheme="minorHAnsi" w:cstheme="minorHAns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Dinsmore &amp; Shohl, LLP</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Charlene Metzger</cp:lastModifiedBy>
  <cp:revision>5</cp:revision>
  <cp:lastPrinted>2018-06-05T18:35:00Z</cp:lastPrinted>
  <dcterms:created xsi:type="dcterms:W3CDTF">2022-03-14T20:13:00Z</dcterms:created>
  <dcterms:modified xsi:type="dcterms:W3CDTF">2022-04-12T19:40:00Z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640760573</vt:i4>
  </property>
  <property fmtid="{D5CDD505-2E9C-101B-9397-08002B2CF9AE}" pid="4" name="_EmailSubject">
    <vt:lpwstr>fairfax.solicitor.ordinance.2022.DOCX</vt:lpwstr>
  </property>
  <property fmtid="{D5CDD505-2E9C-101B-9397-08002B2CF9AE}" pid="5" name="_AuthorEmail">
    <vt:lpwstr>alan.abes@dinsmore.com</vt:lpwstr>
  </property>
  <property fmtid="{D5CDD505-2E9C-101B-9397-08002B2CF9AE}" pid="6" name="_AuthorEmailDisplayName">
    <vt:lpwstr>Abes, Alan</vt:lpwstr>
  </property>
  <property fmtid="{D5CDD505-2E9C-101B-9397-08002B2CF9AE}" pid="7" name="_PreviousAdHocReviewCycleID">
    <vt:i4>115405940</vt:i4>
  </property>
  <property fmtid="{D5CDD505-2E9C-101B-9397-08002B2CF9AE}" pid="8" name="_ReviewingToolsShownOnce">
    <vt:lpwstr/>
  </property>
</Properties>
</file>